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646A1" w14:textId="77777777" w:rsidR="009928E6" w:rsidRPr="002072E4" w:rsidRDefault="00AD0AD9" w:rsidP="0018012F">
      <w:pPr>
        <w:jc w:val="center"/>
        <w:rPr>
          <w:rFonts w:ascii="Cordia New" w:hAnsi="Cordia New" w:cs="Cordia New"/>
          <w:b/>
          <w:bCs/>
          <w:sz w:val="28"/>
        </w:rPr>
      </w:pPr>
      <w:r w:rsidRPr="002072E4">
        <w:rPr>
          <w:rFonts w:ascii="Cordia New" w:hAnsi="Cordia New" w:cs="Cordia New"/>
          <w:b/>
          <w:bCs/>
          <w:sz w:val="28"/>
        </w:rPr>
        <w:t>D</w:t>
      </w:r>
      <w:r w:rsidR="009928E6" w:rsidRPr="002072E4">
        <w:rPr>
          <w:rFonts w:ascii="Cordia New" w:hAnsi="Cordia New" w:cs="Cordia New"/>
          <w:b/>
          <w:bCs/>
          <w:sz w:val="28"/>
        </w:rPr>
        <w:t>EFINITION OF INDEPENDENT DIRECTOR</w:t>
      </w:r>
    </w:p>
    <w:p w14:paraId="4A2061F5" w14:textId="77777777" w:rsidR="009A65BB" w:rsidRPr="002072E4" w:rsidRDefault="009A65BB" w:rsidP="0018012F">
      <w:pPr>
        <w:jc w:val="center"/>
        <w:rPr>
          <w:rFonts w:ascii="Cordia New" w:hAnsi="Cordia New" w:cs="Cordia New"/>
          <w:b/>
          <w:bCs/>
          <w:sz w:val="28"/>
        </w:rPr>
      </w:pPr>
    </w:p>
    <w:p w14:paraId="575ADB2E" w14:textId="77777777" w:rsidR="00E86985" w:rsidRPr="002072E4" w:rsidRDefault="00E86985" w:rsidP="00294429">
      <w:pPr>
        <w:numPr>
          <w:ilvl w:val="0"/>
          <w:numId w:val="3"/>
        </w:numPr>
        <w:tabs>
          <w:tab w:val="clear" w:pos="720"/>
        </w:tabs>
        <w:autoSpaceDE w:val="0"/>
        <w:autoSpaceDN w:val="0"/>
        <w:adjustRightInd w:val="0"/>
        <w:ind w:left="0" w:firstLine="360"/>
        <w:jc w:val="thaiDistribute"/>
        <w:rPr>
          <w:rFonts w:ascii="Cordia New" w:hAnsi="Cordia New" w:cs="Cordia New"/>
          <w:sz w:val="28"/>
        </w:rPr>
      </w:pPr>
      <w:r w:rsidRPr="002072E4">
        <w:rPr>
          <w:rFonts w:ascii="Cordia New" w:hAnsi="Cordia New" w:cs="Cordia New"/>
          <w:sz w:val="28"/>
        </w:rPr>
        <w:t>Independent Director mean the directors who have independence to express their opinions and at least one third of the board size shall be independent directors, and in any cases, the number shall not be fewer than three</w:t>
      </w:r>
      <w:r w:rsidR="00FE089A" w:rsidRPr="002072E4">
        <w:rPr>
          <w:rFonts w:ascii="Cordia New" w:hAnsi="Cordia New" w:cs="Cordia New"/>
          <w:sz w:val="28"/>
        </w:rPr>
        <w:t>.</w:t>
      </w:r>
      <w:r w:rsidRPr="002072E4">
        <w:rPr>
          <w:rFonts w:ascii="Cordia New" w:hAnsi="Cordia New" w:cs="Cordia New"/>
          <w:sz w:val="28"/>
        </w:rPr>
        <w:t xml:space="preserve"> </w:t>
      </w:r>
    </w:p>
    <w:p w14:paraId="5397521F" w14:textId="77777777" w:rsidR="00E86985" w:rsidRPr="002072E4" w:rsidRDefault="00E86985" w:rsidP="00294429">
      <w:pPr>
        <w:pStyle w:val="ListParagraph"/>
        <w:numPr>
          <w:ilvl w:val="0"/>
          <w:numId w:val="3"/>
        </w:numPr>
        <w:tabs>
          <w:tab w:val="clear" w:pos="720"/>
        </w:tabs>
        <w:ind w:left="0" w:firstLine="360"/>
        <w:jc w:val="thaiDistribute"/>
        <w:rPr>
          <w:rFonts w:ascii="Cordia New" w:hAnsi="Cordia New" w:cs="Cordia New"/>
          <w:sz w:val="28"/>
        </w:rPr>
      </w:pPr>
      <w:r w:rsidRPr="002072E4">
        <w:rPr>
          <w:rFonts w:ascii="Cordia New" w:hAnsi="Cordia New" w:cs="Cordia New"/>
          <w:sz w:val="28"/>
        </w:rPr>
        <w:t>Maximum of five director</w:t>
      </w:r>
      <w:r w:rsidR="00FE089A" w:rsidRPr="002072E4">
        <w:rPr>
          <w:rFonts w:ascii="Cordia New" w:hAnsi="Cordia New" w:cs="Cordia New"/>
          <w:sz w:val="28"/>
        </w:rPr>
        <w:t xml:space="preserve"> </w:t>
      </w:r>
      <w:r w:rsidRPr="002072E4">
        <w:rPr>
          <w:rFonts w:ascii="Cordia New" w:hAnsi="Cordia New" w:cs="Cordia New"/>
          <w:sz w:val="28"/>
        </w:rPr>
        <w:t>ships in SET’s listed companies</w:t>
      </w:r>
      <w:r w:rsidRPr="002072E4">
        <w:rPr>
          <w:rFonts w:ascii="Cordia New" w:hAnsi="Cordia New" w:cs="Cordia New" w:hint="cs"/>
          <w:sz w:val="28"/>
          <w:cs/>
        </w:rPr>
        <w:t xml:space="preserve"> </w:t>
      </w:r>
      <w:r w:rsidRPr="002072E4">
        <w:rPr>
          <w:rFonts w:ascii="Cordia New" w:hAnsi="Cordia New" w:cs="Cordia New"/>
          <w:sz w:val="28"/>
        </w:rPr>
        <w:t>and Independent directors cannot hold positions longer than nine consecutive years.</w:t>
      </w:r>
    </w:p>
    <w:p w14:paraId="6F364401" w14:textId="77777777" w:rsidR="00E86985" w:rsidRPr="002072E4" w:rsidRDefault="00E86985" w:rsidP="00E86985">
      <w:pPr>
        <w:pStyle w:val="ListParagraph"/>
        <w:numPr>
          <w:ilvl w:val="0"/>
          <w:numId w:val="3"/>
        </w:numPr>
        <w:rPr>
          <w:rFonts w:ascii="Cordia New" w:hAnsi="Cordia New" w:cs="Cordia New"/>
          <w:sz w:val="28"/>
        </w:rPr>
      </w:pPr>
      <w:r w:rsidRPr="002072E4">
        <w:rPr>
          <w:rFonts w:ascii="Cordia New" w:hAnsi="Cordia New" w:cs="Cordia New"/>
          <w:sz w:val="28"/>
        </w:rPr>
        <w:t>Each independent director shall comply with the following rules:</w:t>
      </w:r>
    </w:p>
    <w:p w14:paraId="0FDBC4EA" w14:textId="77777777"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(a)</w:t>
      </w:r>
      <w:r w:rsidRPr="002072E4">
        <w:rPr>
          <w:rFonts w:ascii="Cordia New" w:hAnsi="Cordia New"/>
          <w:sz w:val="28"/>
          <w:lang w:bidi="th-TH"/>
        </w:rPr>
        <w:tab/>
        <w:t>holding shares not exceeding one per cent of the total number of shares with voting rights of the applicant, its parent company, subsidiary company, associate company, major shareholder or controlling person, including shares held by related persons of such independent director</w:t>
      </w:r>
      <w:r w:rsidR="00B31434" w:rsidRPr="002072E4">
        <w:rPr>
          <w:rFonts w:ascii="Cordia New" w:hAnsi="Cordia New"/>
          <w:sz w:val="28"/>
          <w:lang w:bidi="th-TH"/>
        </w:rPr>
        <w:t>.</w:t>
      </w:r>
    </w:p>
    <w:p w14:paraId="7D1E03DF" w14:textId="77777777"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(b)</w:t>
      </w:r>
      <w:r w:rsidR="00B31434" w:rsidRPr="002072E4">
        <w:rPr>
          <w:rFonts w:ascii="Cordia New" w:hAnsi="Cordia New"/>
          <w:sz w:val="28"/>
          <w:lang w:bidi="th-TH"/>
        </w:rPr>
        <w:tab/>
      </w:r>
      <w:r w:rsidRPr="002072E4">
        <w:rPr>
          <w:rFonts w:ascii="Cordia New" w:hAnsi="Cordia New"/>
          <w:sz w:val="28"/>
          <w:lang w:bidi="th-TH"/>
        </w:rPr>
        <w:t>neither being nor used to be an executive director, employee, staff, advisor who receives salary, or controlling person</w:t>
      </w:r>
      <w:r w:rsidR="00B31434" w:rsidRPr="002072E4">
        <w:rPr>
          <w:rFonts w:ascii="Cordia New" w:hAnsi="Cordia New"/>
          <w:sz w:val="28"/>
          <w:lang w:bidi="th-TH"/>
        </w:rPr>
        <w:t xml:space="preserve"> of the company</w:t>
      </w:r>
      <w:r w:rsidRPr="002072E4">
        <w:rPr>
          <w:rFonts w:ascii="Cordia New" w:hAnsi="Cordia New"/>
          <w:sz w:val="28"/>
          <w:lang w:bidi="th-TH"/>
        </w:rPr>
        <w:t>, its parent company, subsidiary company, associate company, same-level subsidiary company, major shareholder or controlling person</w:t>
      </w:r>
      <w:r w:rsidR="00B31434" w:rsidRPr="002072E4">
        <w:rPr>
          <w:rFonts w:ascii="Cordia New" w:hAnsi="Cordia New"/>
          <w:sz w:val="28"/>
          <w:lang w:bidi="th-TH"/>
        </w:rPr>
        <w:t>.</w:t>
      </w:r>
    </w:p>
    <w:p w14:paraId="03876B11" w14:textId="77777777"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 xml:space="preserve"> (c)</w:t>
      </w:r>
      <w:r w:rsidRPr="002072E4">
        <w:rPr>
          <w:rFonts w:ascii="Cordia New" w:hAnsi="Cordia New"/>
          <w:sz w:val="28"/>
          <w:lang w:bidi="th-TH"/>
        </w:rPr>
        <w:tab/>
        <w:t>not being a person related by blood or legal registration as father, mother, spouse, sibling, and child, including spouse of child, executive, major shareholder, controlling person, or  person to be nominated as executive or controlling person</w:t>
      </w:r>
      <w:r w:rsidR="00B31434" w:rsidRPr="002072E4">
        <w:rPr>
          <w:rFonts w:ascii="Cordia New" w:hAnsi="Cordia New"/>
          <w:sz w:val="28"/>
          <w:lang w:bidi="th-TH"/>
        </w:rPr>
        <w:t xml:space="preserve"> of the company</w:t>
      </w:r>
      <w:r w:rsidRPr="002072E4">
        <w:rPr>
          <w:rFonts w:ascii="Cordia New" w:hAnsi="Cordia New"/>
          <w:sz w:val="28"/>
          <w:lang w:bidi="th-TH"/>
        </w:rPr>
        <w:t xml:space="preserve"> or its subsidiary company</w:t>
      </w:r>
      <w:r w:rsidR="00B31434" w:rsidRPr="002072E4">
        <w:rPr>
          <w:rFonts w:ascii="Cordia New" w:hAnsi="Cordia New"/>
          <w:sz w:val="28"/>
          <w:lang w:bidi="th-TH"/>
        </w:rPr>
        <w:t>.</w:t>
      </w:r>
    </w:p>
    <w:p w14:paraId="7D2311C3" w14:textId="77777777"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(d)</w:t>
      </w:r>
      <w:r w:rsidRPr="002072E4">
        <w:rPr>
          <w:rFonts w:ascii="Cordia New" w:hAnsi="Cordia New"/>
          <w:sz w:val="28"/>
          <w:lang w:bidi="th-TH"/>
        </w:rPr>
        <w:tab/>
        <w:t xml:space="preserve">neither having nor used to have a business relationship with the </w:t>
      </w:r>
      <w:r w:rsidR="00B31434" w:rsidRPr="002072E4">
        <w:rPr>
          <w:rFonts w:ascii="Cordia New" w:hAnsi="Cordia New"/>
          <w:sz w:val="28"/>
          <w:lang w:bidi="th-TH"/>
        </w:rPr>
        <w:t>company</w:t>
      </w:r>
      <w:r w:rsidRPr="002072E4">
        <w:rPr>
          <w:rFonts w:ascii="Cordia New" w:hAnsi="Cordia New"/>
          <w:sz w:val="28"/>
          <w:lang w:bidi="th-TH"/>
        </w:rPr>
        <w:t>, its parent company, subsidiary company, associate company, major shareholder or controlling person, in the manner which may interfere with his independent</w:t>
      </w:r>
      <w:r w:rsidR="00FB0AB2" w:rsidRPr="002072E4">
        <w:rPr>
          <w:rFonts w:ascii="Cordia New" w:hAnsi="Cordia New"/>
          <w:sz w:val="28"/>
          <w:lang w:bidi="th-TH"/>
        </w:rPr>
        <w:t xml:space="preserve"> </w:t>
      </w:r>
      <w:r w:rsidRPr="002072E4">
        <w:rPr>
          <w:rFonts w:ascii="Cordia New" w:hAnsi="Cordia New"/>
          <w:sz w:val="28"/>
          <w:lang w:bidi="th-TH"/>
        </w:rPr>
        <w:t>judgement, and neither being nor used to be a significant shareholder or controlling person of any person having a business relationship</w:t>
      </w:r>
      <w:r w:rsidR="00B31434" w:rsidRPr="002072E4">
        <w:rPr>
          <w:rFonts w:ascii="Cordia New" w:hAnsi="Cordia New"/>
          <w:sz w:val="28"/>
          <w:lang w:bidi="th-TH"/>
        </w:rPr>
        <w:t xml:space="preserve"> with the company</w:t>
      </w:r>
      <w:r w:rsidR="00FB0AB2" w:rsidRPr="002072E4">
        <w:rPr>
          <w:rFonts w:ascii="Cordia New" w:hAnsi="Cordia New"/>
          <w:sz w:val="28"/>
          <w:lang w:bidi="th-TH"/>
        </w:rPr>
        <w:t xml:space="preserve">, </w:t>
      </w:r>
      <w:r w:rsidRPr="002072E4">
        <w:rPr>
          <w:rFonts w:ascii="Cordia New" w:hAnsi="Cordia New"/>
          <w:sz w:val="28"/>
          <w:lang w:bidi="th-TH"/>
        </w:rPr>
        <w:t>its parent company, subsidiary company, associate company, major shareholder or controlling person</w:t>
      </w:r>
      <w:r w:rsidR="00FB0AB2" w:rsidRPr="002072E4">
        <w:rPr>
          <w:rFonts w:ascii="Cordia New" w:hAnsi="Cordia New"/>
          <w:sz w:val="28"/>
          <w:lang w:bidi="th-TH"/>
        </w:rPr>
        <w:t>.</w:t>
      </w:r>
    </w:p>
    <w:p w14:paraId="456D5495" w14:textId="5DA50AFD" w:rsidR="00E86985" w:rsidRPr="002072E4" w:rsidRDefault="00FB0AB2" w:rsidP="00B31434">
      <w:pPr>
        <w:pStyle w:val="Body"/>
        <w:tabs>
          <w:tab w:val="left" w:pos="1582"/>
        </w:tabs>
        <w:spacing w:after="0" w:line="240" w:lineRule="auto"/>
        <w:ind w:left="1582"/>
        <w:rPr>
          <w:rFonts w:ascii="Cordia New" w:hAnsi="Cordia New"/>
          <w:sz w:val="28"/>
          <w:cs/>
          <w:lang w:bidi="th-TH"/>
        </w:rPr>
      </w:pPr>
      <w:r w:rsidRPr="002072E4">
        <w:rPr>
          <w:rFonts w:ascii="Cordia New" w:hAnsi="Cordia New"/>
          <w:sz w:val="28"/>
          <w:lang w:bidi="th-TH"/>
        </w:rPr>
        <w:t xml:space="preserve">“Non-Independent’ – Criteria: Transaction amount </w:t>
      </w:r>
      <w:r w:rsidR="00E86985" w:rsidRPr="002072E4">
        <w:rPr>
          <w:rFonts w:ascii="Cordia New" w:hAnsi="Cordia New"/>
          <w:sz w:val="28"/>
          <w:lang w:bidi="th-TH"/>
        </w:rPr>
        <w:t>of three percent or more of the net tangible assets</w:t>
      </w:r>
      <w:r w:rsidRPr="002072E4">
        <w:rPr>
          <w:rFonts w:ascii="Cordia New" w:hAnsi="Cordia New"/>
          <w:sz w:val="28"/>
          <w:lang w:bidi="th-TH"/>
        </w:rPr>
        <w:t xml:space="preserve"> </w:t>
      </w:r>
      <w:r w:rsidR="00E86985" w:rsidRPr="002072E4">
        <w:rPr>
          <w:rFonts w:ascii="Cordia New" w:hAnsi="Cordia New"/>
          <w:sz w:val="28"/>
          <w:lang w:bidi="th-TH"/>
        </w:rPr>
        <w:t>or twenty million baht or more, whichever is lower. The amount of such indebtedness shall be calculated according to the method for calculation of value of connected transactions under the Notification of the Capital Market Supervisory Board governing rules</w:t>
      </w:r>
      <w:r w:rsidR="00315BA8" w:rsidRPr="002072E4">
        <w:rPr>
          <w:rFonts w:ascii="Cordia New" w:hAnsi="Cordia New"/>
          <w:sz w:val="28"/>
          <w:lang w:bidi="th-TH"/>
        </w:rPr>
        <w:t>.</w:t>
      </w:r>
    </w:p>
    <w:p w14:paraId="0E52C3F4" w14:textId="77777777"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 xml:space="preserve"> (e)</w:t>
      </w:r>
      <w:r w:rsidRPr="002072E4">
        <w:rPr>
          <w:rFonts w:ascii="Cordia New" w:hAnsi="Cordia New"/>
          <w:sz w:val="28"/>
          <w:lang w:bidi="th-TH"/>
        </w:rPr>
        <w:tab/>
        <w:t xml:space="preserve">neither being nor used to be an auditor of the </w:t>
      </w:r>
      <w:r w:rsidR="00B31434" w:rsidRPr="002072E4">
        <w:rPr>
          <w:rFonts w:ascii="Cordia New" w:hAnsi="Cordia New"/>
          <w:sz w:val="28"/>
          <w:lang w:bidi="th-TH"/>
        </w:rPr>
        <w:t>company</w:t>
      </w:r>
      <w:r w:rsidRPr="002072E4">
        <w:rPr>
          <w:rFonts w:ascii="Cordia New" w:hAnsi="Cordia New"/>
          <w:sz w:val="28"/>
          <w:lang w:bidi="th-TH"/>
        </w:rPr>
        <w:t xml:space="preserve">, its parent company, subsidiary company, associate company, major shareholder or controlling person, and not being a significant shareholder, controlling person, or partner of an audit </w:t>
      </w:r>
      <w:r w:rsidRPr="002072E4">
        <w:rPr>
          <w:rFonts w:ascii="Cordia New" w:hAnsi="Cordia New"/>
          <w:sz w:val="28"/>
          <w:lang w:bidi="th-TH"/>
        </w:rPr>
        <w:lastRenderedPageBreak/>
        <w:t>firm which employs auditors</w:t>
      </w:r>
      <w:r w:rsidR="00B31434" w:rsidRPr="002072E4">
        <w:rPr>
          <w:rFonts w:ascii="Cordia New" w:hAnsi="Cordia New"/>
          <w:sz w:val="28"/>
          <w:lang w:bidi="th-TH"/>
        </w:rPr>
        <w:t xml:space="preserve"> of the company</w:t>
      </w:r>
      <w:r w:rsidRPr="002072E4">
        <w:rPr>
          <w:rFonts w:ascii="Cordia New" w:hAnsi="Cordia New"/>
          <w:sz w:val="28"/>
          <w:lang w:bidi="th-TH"/>
        </w:rPr>
        <w:t>, its parent company, subsidiary company, associate company, major shareholder or controlling person</w:t>
      </w:r>
      <w:r w:rsidR="00315BA8" w:rsidRPr="002072E4">
        <w:rPr>
          <w:rFonts w:ascii="Cordia New" w:hAnsi="Cordia New"/>
          <w:sz w:val="28"/>
          <w:lang w:bidi="th-TH"/>
        </w:rPr>
        <w:t>.</w:t>
      </w:r>
    </w:p>
    <w:p w14:paraId="183429BB" w14:textId="77777777"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(f)</w:t>
      </w:r>
      <w:r w:rsidRPr="002072E4">
        <w:rPr>
          <w:rFonts w:ascii="Cordia New" w:hAnsi="Cordia New"/>
          <w:sz w:val="28"/>
          <w:lang w:bidi="th-TH"/>
        </w:rPr>
        <w:tab/>
        <w:t xml:space="preserve">neither being nor used to be a provider of any professional services including those as legal advisor or financial advisor who receives service fees exceeding two million baht per year from the </w:t>
      </w:r>
      <w:r w:rsidR="00315BA8" w:rsidRPr="002072E4">
        <w:rPr>
          <w:rFonts w:ascii="Cordia New" w:hAnsi="Cordia New"/>
          <w:sz w:val="28"/>
          <w:lang w:bidi="th-TH"/>
        </w:rPr>
        <w:t>company</w:t>
      </w:r>
      <w:r w:rsidRPr="002072E4">
        <w:rPr>
          <w:rFonts w:ascii="Cordia New" w:hAnsi="Cordia New"/>
          <w:sz w:val="28"/>
          <w:lang w:bidi="th-TH"/>
        </w:rPr>
        <w:t>, its parent company, subsidiary company, associate company, major shareholder or controlling person, and not being a significant shareholder, controlling person or  partner of the provider of professional services</w:t>
      </w:r>
      <w:r w:rsidR="00315BA8" w:rsidRPr="002072E4">
        <w:rPr>
          <w:rFonts w:ascii="Cordia New" w:hAnsi="Cordia New"/>
          <w:sz w:val="28"/>
          <w:lang w:bidi="th-TH"/>
        </w:rPr>
        <w:t>.</w:t>
      </w:r>
    </w:p>
    <w:p w14:paraId="2431A65B" w14:textId="5A49CB02"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(g)</w:t>
      </w:r>
      <w:r w:rsidRPr="002072E4">
        <w:rPr>
          <w:rFonts w:ascii="Cordia New" w:hAnsi="Cordia New"/>
          <w:sz w:val="28"/>
          <w:lang w:bidi="th-TH"/>
        </w:rPr>
        <w:tab/>
        <w:t>not being a director appointed as representative of directors of the applicant, major shareholder or shareholder who is related to major shareholder</w:t>
      </w:r>
      <w:r w:rsidR="002072E4">
        <w:rPr>
          <w:rFonts w:ascii="Cordia New" w:hAnsi="Cordia New" w:hint="cs"/>
          <w:sz w:val="28"/>
          <w:cs/>
          <w:lang w:bidi="th-TH"/>
        </w:rPr>
        <w:t>.</w:t>
      </w:r>
    </w:p>
    <w:p w14:paraId="1FC7A61C" w14:textId="77777777" w:rsidR="00E86985" w:rsidRPr="002072E4" w:rsidRDefault="00E86985" w:rsidP="00B31434">
      <w:pPr>
        <w:pStyle w:val="Body"/>
        <w:tabs>
          <w:tab w:val="left" w:pos="1582"/>
        </w:tabs>
        <w:spacing w:after="0" w:line="240" w:lineRule="auto"/>
        <w:ind w:left="1582" w:hanging="448"/>
        <w:rPr>
          <w:rFonts w:ascii="Cordia New" w:hAnsi="Cordia New"/>
          <w:sz w:val="28"/>
          <w:lang w:bidi="th-TH"/>
        </w:rPr>
      </w:pPr>
      <w:r w:rsidRPr="002072E4">
        <w:rPr>
          <w:rFonts w:ascii="Cordia New" w:hAnsi="Cordia New"/>
          <w:sz w:val="28"/>
          <w:lang w:bidi="th-TH"/>
        </w:rPr>
        <w:t>(h)</w:t>
      </w:r>
      <w:r w:rsidRPr="002072E4">
        <w:rPr>
          <w:rFonts w:ascii="Cordia New" w:hAnsi="Cordia New"/>
          <w:sz w:val="28"/>
          <w:lang w:bidi="th-TH"/>
        </w:rPr>
        <w:tab/>
        <w:t xml:space="preserve">not having any other characteristics which cause the inability to express independent opinions with regard to the </w:t>
      </w:r>
      <w:r w:rsidR="00B31434" w:rsidRPr="002072E4">
        <w:rPr>
          <w:rFonts w:ascii="Cordia New" w:hAnsi="Cordia New"/>
          <w:sz w:val="28"/>
          <w:lang w:bidi="th-TH"/>
        </w:rPr>
        <w:t>company</w:t>
      </w:r>
      <w:r w:rsidRPr="002072E4">
        <w:rPr>
          <w:rFonts w:ascii="Cordia New" w:hAnsi="Cordia New"/>
          <w:sz w:val="28"/>
          <w:lang w:bidi="th-TH"/>
        </w:rPr>
        <w:t>’s business operations.</w:t>
      </w:r>
    </w:p>
    <w:p w14:paraId="493C4ABA" w14:textId="77777777" w:rsidR="00AD0AD9" w:rsidRPr="002072E4" w:rsidRDefault="00AD0AD9" w:rsidP="0018012F">
      <w:pPr>
        <w:jc w:val="thaiDistribute"/>
        <w:rPr>
          <w:rFonts w:ascii="Cordia New" w:hAnsi="Cordia New" w:cs="Cordia New"/>
          <w:sz w:val="28"/>
        </w:rPr>
      </w:pPr>
    </w:p>
    <w:p w14:paraId="290B9125" w14:textId="77777777" w:rsidR="00AD1CD6" w:rsidRPr="002072E4" w:rsidRDefault="00AD1CD6" w:rsidP="0018012F">
      <w:pPr>
        <w:jc w:val="thaiDistribute"/>
        <w:rPr>
          <w:rFonts w:ascii="Cordia New" w:hAnsi="Cordia New" w:cs="Cordia New"/>
          <w:sz w:val="28"/>
        </w:rPr>
      </w:pPr>
    </w:p>
    <w:sectPr w:rsidR="00AD1CD6" w:rsidRPr="002072E4" w:rsidSect="0028107A">
      <w:headerReference w:type="even" r:id="rId8"/>
      <w:headerReference w:type="default" r:id="rId9"/>
      <w:footerReference w:type="even" r:id="rId10"/>
      <w:footerReference w:type="default" r:id="rId11"/>
      <w:headerReference w:type="first" r:id="rId12"/>
      <w:footerReference w:type="first" r:id="rId13"/>
      <w:pgSz w:w="11907" w:h="16839" w:code="9"/>
      <w:pgMar w:top="1440" w:right="1797" w:bottom="1440" w:left="1797"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0232D" w14:textId="77777777" w:rsidR="00DE6DFF" w:rsidRDefault="00DE6DFF">
      <w:r>
        <w:separator/>
      </w:r>
    </w:p>
  </w:endnote>
  <w:endnote w:type="continuationSeparator" w:id="0">
    <w:p w14:paraId="03829D7D" w14:textId="77777777" w:rsidR="00DE6DFF" w:rsidRDefault="00DE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677D" w14:textId="77777777" w:rsidR="00DB7C7F" w:rsidRDefault="00DB7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C234" w14:textId="77777777" w:rsidR="00DB7C7F" w:rsidRDefault="00DB7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AB13C" w14:textId="77777777" w:rsidR="00DB7C7F" w:rsidRDefault="00DB7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C0E89" w14:textId="77777777" w:rsidR="00DE6DFF" w:rsidRDefault="00DE6DFF">
      <w:r>
        <w:separator/>
      </w:r>
    </w:p>
  </w:footnote>
  <w:footnote w:type="continuationSeparator" w:id="0">
    <w:p w14:paraId="748560DE" w14:textId="77777777" w:rsidR="00DE6DFF" w:rsidRDefault="00DE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A455" w14:textId="77777777" w:rsidR="00353079" w:rsidRDefault="004F6FC4" w:rsidP="006B34FD">
    <w:pPr>
      <w:pStyle w:val="Header"/>
      <w:framePr w:wrap="around" w:vAnchor="text" w:hAnchor="margin" w:xAlign="center" w:y="1"/>
      <w:rPr>
        <w:rStyle w:val="PageNumber"/>
      </w:rPr>
    </w:pPr>
    <w:r>
      <w:rPr>
        <w:rStyle w:val="PageNumber"/>
      </w:rPr>
      <w:fldChar w:fldCharType="begin"/>
    </w:r>
    <w:r w:rsidR="00353079">
      <w:rPr>
        <w:rStyle w:val="PageNumber"/>
      </w:rPr>
      <w:instrText xml:space="preserve">PAGE  </w:instrText>
    </w:r>
    <w:r>
      <w:rPr>
        <w:rStyle w:val="PageNumber"/>
      </w:rPr>
      <w:fldChar w:fldCharType="end"/>
    </w:r>
  </w:p>
  <w:p w14:paraId="292D3848" w14:textId="77777777" w:rsidR="00353079" w:rsidRDefault="00353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FC61" w14:textId="7A2D8906" w:rsidR="00C35988" w:rsidRPr="00C35988" w:rsidRDefault="00C35988" w:rsidP="00C35988">
    <w:pPr>
      <w:pStyle w:val="Header"/>
      <w:jc w:val="right"/>
      <w:rPr>
        <w:rFonts w:ascii="Cordia New" w:hAnsi="Cordia New" w:cs="Cordia New"/>
        <w:b/>
        <w:bCs/>
        <w:szCs w:val="24"/>
      </w:rPr>
    </w:pPr>
    <w:r w:rsidRPr="001966DC">
      <w:rPr>
        <w:rFonts w:ascii="Cordia New" w:hAnsi="Cordia New" w:cs="Cordia New"/>
        <w:b/>
        <w:bCs/>
        <w:szCs w:val="24"/>
      </w:rPr>
      <w:t>Attachment 5</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A393" w14:textId="77777777" w:rsidR="00DB7C7F" w:rsidRDefault="00DB7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79B"/>
    <w:multiLevelType w:val="hybridMultilevel"/>
    <w:tmpl w:val="3D8A5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B6123"/>
    <w:multiLevelType w:val="multilevel"/>
    <w:tmpl w:val="0409001D"/>
    <w:styleLink w:val="Style5"/>
    <w:lvl w:ilvl="0">
      <w:start w:val="8"/>
      <w:numFmt w:val="decimal"/>
      <w:lvlText w:val="%1)"/>
      <w:lvlJc w:val="left"/>
      <w:pPr>
        <w:tabs>
          <w:tab w:val="num" w:pos="360"/>
        </w:tabs>
        <w:ind w:left="1080" w:hanging="360"/>
      </w:pPr>
      <w:rPr>
        <w:rFonts w:cs="Cordia New"/>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3A15FA2"/>
    <w:multiLevelType w:val="hybridMultilevel"/>
    <w:tmpl w:val="22825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E723A3"/>
    <w:multiLevelType w:val="hybridMultilevel"/>
    <w:tmpl w:val="339C38A0"/>
    <w:lvl w:ilvl="0" w:tplc="DECAA82C">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33163F"/>
    <w:multiLevelType w:val="hybridMultilevel"/>
    <w:tmpl w:val="FD7C2994"/>
    <w:lvl w:ilvl="0" w:tplc="5C30062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791FE2"/>
    <w:multiLevelType w:val="hybridMultilevel"/>
    <w:tmpl w:val="AA18E888"/>
    <w:lvl w:ilvl="0" w:tplc="80F0E5C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D9"/>
    <w:rsid w:val="000456B5"/>
    <w:rsid w:val="000646F4"/>
    <w:rsid w:val="00071297"/>
    <w:rsid w:val="00075CBC"/>
    <w:rsid w:val="000D2883"/>
    <w:rsid w:val="000E0D09"/>
    <w:rsid w:val="001215CF"/>
    <w:rsid w:val="001373FE"/>
    <w:rsid w:val="00155084"/>
    <w:rsid w:val="0015562E"/>
    <w:rsid w:val="0018012F"/>
    <w:rsid w:val="00194D36"/>
    <w:rsid w:val="001966DC"/>
    <w:rsid w:val="001A2605"/>
    <w:rsid w:val="001C3AE2"/>
    <w:rsid w:val="002072E4"/>
    <w:rsid w:val="00221051"/>
    <w:rsid w:val="0028107A"/>
    <w:rsid w:val="00283358"/>
    <w:rsid w:val="00294429"/>
    <w:rsid w:val="002A266D"/>
    <w:rsid w:val="00315BA8"/>
    <w:rsid w:val="003371B1"/>
    <w:rsid w:val="003523E9"/>
    <w:rsid w:val="003528FF"/>
    <w:rsid w:val="00353079"/>
    <w:rsid w:val="003931A2"/>
    <w:rsid w:val="003E4F81"/>
    <w:rsid w:val="003F3E18"/>
    <w:rsid w:val="004014D9"/>
    <w:rsid w:val="0043471B"/>
    <w:rsid w:val="00444DB1"/>
    <w:rsid w:val="00447208"/>
    <w:rsid w:val="00453D26"/>
    <w:rsid w:val="00476056"/>
    <w:rsid w:val="00486E41"/>
    <w:rsid w:val="004A3ECF"/>
    <w:rsid w:val="004B4659"/>
    <w:rsid w:val="004C4CD7"/>
    <w:rsid w:val="004F0CA2"/>
    <w:rsid w:val="004F1434"/>
    <w:rsid w:val="004F32F5"/>
    <w:rsid w:val="004F6FC4"/>
    <w:rsid w:val="0051298A"/>
    <w:rsid w:val="00546C57"/>
    <w:rsid w:val="00562B03"/>
    <w:rsid w:val="00575F33"/>
    <w:rsid w:val="00580713"/>
    <w:rsid w:val="00637D74"/>
    <w:rsid w:val="006426A8"/>
    <w:rsid w:val="00652D0E"/>
    <w:rsid w:val="00674EAF"/>
    <w:rsid w:val="0069388B"/>
    <w:rsid w:val="006B34FD"/>
    <w:rsid w:val="006B3560"/>
    <w:rsid w:val="006D4B51"/>
    <w:rsid w:val="0072111A"/>
    <w:rsid w:val="00737956"/>
    <w:rsid w:val="007474C8"/>
    <w:rsid w:val="00772E48"/>
    <w:rsid w:val="00793637"/>
    <w:rsid w:val="007C025F"/>
    <w:rsid w:val="007C6476"/>
    <w:rsid w:val="007F477A"/>
    <w:rsid w:val="00891E5F"/>
    <w:rsid w:val="008C0B01"/>
    <w:rsid w:val="008D0696"/>
    <w:rsid w:val="008D4239"/>
    <w:rsid w:val="008D7AF2"/>
    <w:rsid w:val="00954DA8"/>
    <w:rsid w:val="009928E6"/>
    <w:rsid w:val="009A65BB"/>
    <w:rsid w:val="009B0C8D"/>
    <w:rsid w:val="009F035D"/>
    <w:rsid w:val="009F29B4"/>
    <w:rsid w:val="009F5E8C"/>
    <w:rsid w:val="00A00D7E"/>
    <w:rsid w:val="00A05590"/>
    <w:rsid w:val="00A432FE"/>
    <w:rsid w:val="00A66366"/>
    <w:rsid w:val="00AD0AD9"/>
    <w:rsid w:val="00AD1CD6"/>
    <w:rsid w:val="00AF60E0"/>
    <w:rsid w:val="00AF700B"/>
    <w:rsid w:val="00B03E11"/>
    <w:rsid w:val="00B124C8"/>
    <w:rsid w:val="00B272EE"/>
    <w:rsid w:val="00B31434"/>
    <w:rsid w:val="00B374FF"/>
    <w:rsid w:val="00B64560"/>
    <w:rsid w:val="00B70F67"/>
    <w:rsid w:val="00BC5140"/>
    <w:rsid w:val="00C00A87"/>
    <w:rsid w:val="00C2328C"/>
    <w:rsid w:val="00C35988"/>
    <w:rsid w:val="00C35F58"/>
    <w:rsid w:val="00C438F1"/>
    <w:rsid w:val="00C65B48"/>
    <w:rsid w:val="00CC48EE"/>
    <w:rsid w:val="00CD25A0"/>
    <w:rsid w:val="00D36E55"/>
    <w:rsid w:val="00D47E40"/>
    <w:rsid w:val="00D56BEC"/>
    <w:rsid w:val="00DB47DA"/>
    <w:rsid w:val="00DB7C7F"/>
    <w:rsid w:val="00DD0E43"/>
    <w:rsid w:val="00DE1B84"/>
    <w:rsid w:val="00DE6DFF"/>
    <w:rsid w:val="00E66BB1"/>
    <w:rsid w:val="00E86909"/>
    <w:rsid w:val="00E86985"/>
    <w:rsid w:val="00EC32CF"/>
    <w:rsid w:val="00F00D52"/>
    <w:rsid w:val="00F37875"/>
    <w:rsid w:val="00F629F2"/>
    <w:rsid w:val="00F7275F"/>
    <w:rsid w:val="00F83D88"/>
    <w:rsid w:val="00F9051A"/>
    <w:rsid w:val="00FB0AB2"/>
    <w:rsid w:val="00FB1916"/>
    <w:rsid w:val="00FC02F3"/>
    <w:rsid w:val="00FE089A"/>
    <w:rsid w:val="00FF3F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7BFA10"/>
  <w15:docId w15:val="{763E8488-0930-4819-8034-1DF0EF2A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AD9"/>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5">
    <w:name w:val="Style5"/>
    <w:rsid w:val="00F7275F"/>
    <w:pPr>
      <w:numPr>
        <w:numId w:val="1"/>
      </w:numPr>
    </w:pPr>
  </w:style>
  <w:style w:type="paragraph" w:styleId="Header">
    <w:name w:val="header"/>
    <w:basedOn w:val="Normal"/>
    <w:rsid w:val="00891E5F"/>
    <w:pPr>
      <w:tabs>
        <w:tab w:val="center" w:pos="4153"/>
        <w:tab w:val="right" w:pos="8306"/>
      </w:tabs>
    </w:pPr>
  </w:style>
  <w:style w:type="character" w:styleId="PageNumber">
    <w:name w:val="page number"/>
    <w:basedOn w:val="DefaultParagraphFont"/>
    <w:rsid w:val="00891E5F"/>
  </w:style>
  <w:style w:type="paragraph" w:styleId="Footer">
    <w:name w:val="footer"/>
    <w:basedOn w:val="Normal"/>
    <w:link w:val="FooterChar"/>
    <w:uiPriority w:val="99"/>
    <w:rsid w:val="0018012F"/>
    <w:pPr>
      <w:tabs>
        <w:tab w:val="center" w:pos="4153"/>
        <w:tab w:val="right" w:pos="8306"/>
      </w:tabs>
    </w:pPr>
  </w:style>
  <w:style w:type="paragraph" w:styleId="BalloonText">
    <w:name w:val="Balloon Text"/>
    <w:basedOn w:val="Normal"/>
    <w:link w:val="BalloonTextChar"/>
    <w:rsid w:val="00A05590"/>
    <w:rPr>
      <w:rFonts w:ascii="Tahoma" w:hAnsi="Tahoma"/>
      <w:sz w:val="16"/>
      <w:szCs w:val="20"/>
    </w:rPr>
  </w:style>
  <w:style w:type="character" w:customStyle="1" w:styleId="BalloonTextChar">
    <w:name w:val="Balloon Text Char"/>
    <w:link w:val="BalloonText"/>
    <w:rsid w:val="00A05590"/>
    <w:rPr>
      <w:rFonts w:ascii="Tahoma" w:hAnsi="Tahoma"/>
      <w:sz w:val="16"/>
    </w:rPr>
  </w:style>
  <w:style w:type="paragraph" w:styleId="ListParagraph">
    <w:name w:val="List Paragraph"/>
    <w:basedOn w:val="Normal"/>
    <w:uiPriority w:val="34"/>
    <w:qFormat/>
    <w:rsid w:val="00E86985"/>
    <w:pPr>
      <w:ind w:left="720"/>
      <w:contextualSpacing/>
    </w:pPr>
  </w:style>
  <w:style w:type="paragraph" w:customStyle="1" w:styleId="Body">
    <w:name w:val="Body"/>
    <w:basedOn w:val="Normal"/>
    <w:rsid w:val="00E86985"/>
    <w:pPr>
      <w:spacing w:after="140" w:line="290" w:lineRule="auto"/>
      <w:jc w:val="both"/>
    </w:pPr>
    <w:rPr>
      <w:rFonts w:ascii="Arial" w:eastAsia="PMingLiU" w:hAnsi="Arial" w:cs="Cordia New"/>
      <w:kern w:val="20"/>
      <w:sz w:val="20"/>
      <w:lang w:val="en-GB" w:bidi="ar-SA"/>
    </w:rPr>
  </w:style>
  <w:style w:type="character" w:customStyle="1" w:styleId="FooterChar">
    <w:name w:val="Footer Char"/>
    <w:basedOn w:val="DefaultParagraphFont"/>
    <w:link w:val="Footer"/>
    <w:uiPriority w:val="99"/>
    <w:rsid w:val="0028107A"/>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5846-7354-42CA-A316-56ABC804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Definition of Independent Director</vt:lpstr>
    </vt:vector>
  </TitlesOfParts>
  <Company>a</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Independent Director</dc:title>
  <dc:creator>Masaya</dc:creator>
  <cp:lastModifiedBy>PriceSanond</cp:lastModifiedBy>
  <cp:revision>7</cp:revision>
  <cp:lastPrinted>2016-03-16T07:49:00Z</cp:lastPrinted>
  <dcterms:created xsi:type="dcterms:W3CDTF">2020-02-28T10:43:00Z</dcterms:created>
  <dcterms:modified xsi:type="dcterms:W3CDTF">2020-03-11T13:13:00Z</dcterms:modified>
</cp:coreProperties>
</file>